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424" w:rsidRPr="00D62A9E" w:rsidRDefault="00DE4424" w:rsidP="00DE4424">
      <w:pPr>
        <w:pStyle w:val="Heading3"/>
        <w:rPr>
          <w:rStyle w:val="Heading3Char"/>
          <w:b/>
        </w:rPr>
      </w:pPr>
      <w:bookmarkStart w:id="0" w:name="_Toc415730978"/>
      <w:r w:rsidRPr="00D62A9E">
        <w:rPr>
          <w:rStyle w:val="Heading3Char"/>
          <w:b/>
        </w:rPr>
        <w:t xml:space="preserve">Aspen Pest Complex </w:t>
      </w:r>
      <w:r w:rsidR="00D62A9E">
        <w:rPr>
          <w:rStyle w:val="Heading3Char"/>
          <w:b/>
        </w:rPr>
        <w:tab/>
      </w:r>
      <w:r w:rsidR="00D62A9E">
        <w:rPr>
          <w:rStyle w:val="Heading3Char"/>
          <w:b/>
        </w:rPr>
        <w:tab/>
      </w:r>
      <w:r w:rsidR="00D62A9E">
        <w:rPr>
          <w:rStyle w:val="Heading3Char"/>
          <w:b/>
        </w:rPr>
        <w:tab/>
      </w:r>
      <w:r w:rsidRPr="00D62A9E">
        <w:rPr>
          <w:rStyle w:val="Heading3Char"/>
          <w:b/>
        </w:rPr>
        <w:t>(</w:t>
      </w:r>
      <w:proofErr w:type="spellStart"/>
      <w:r w:rsidRPr="00D62A9E">
        <w:rPr>
          <w:rStyle w:val="Heading3Char"/>
          <w:b/>
        </w:rPr>
        <w:t>Venturia</w:t>
      </w:r>
      <w:proofErr w:type="spellEnd"/>
      <w:r w:rsidRPr="00D62A9E">
        <w:rPr>
          <w:rStyle w:val="Heading3Char"/>
          <w:b/>
        </w:rPr>
        <w:t xml:space="preserve">, Leaf Miner, </w:t>
      </w:r>
      <w:proofErr w:type="spellStart"/>
      <w:r w:rsidRPr="00D62A9E">
        <w:rPr>
          <w:rStyle w:val="Heading3Char"/>
          <w:b/>
        </w:rPr>
        <w:t>Tortrix</w:t>
      </w:r>
      <w:proofErr w:type="spellEnd"/>
      <w:r w:rsidRPr="00D62A9E">
        <w:rPr>
          <w:rStyle w:val="Heading3Char"/>
          <w:b/>
        </w:rPr>
        <w:t>)</w:t>
      </w:r>
      <w:bookmarkEnd w:id="0"/>
    </w:p>
    <w:p w:rsidR="00DE4424" w:rsidRPr="00D62A9E" w:rsidRDefault="00DE4424" w:rsidP="00D62A9E">
      <w:pPr>
        <w:pStyle w:val="Default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6"/>
      </w:tblGrid>
      <w:tr w:rsidR="00B713B1" w:rsidTr="00E048C4">
        <w:tc>
          <w:tcPr>
            <w:tcW w:w="0" w:type="auto"/>
          </w:tcPr>
          <w:p w:rsidR="00B713B1" w:rsidRDefault="00B713B1" w:rsidP="00B713B1">
            <w:pPr>
              <w:pStyle w:val="Default"/>
              <w:contextualSpacing/>
            </w:pPr>
            <w:r w:rsidRPr="00D62A9E">
              <w:rPr>
                <w:rFonts w:asciiTheme="minorHAnsi" w:hAnsiTheme="minorHAnsi"/>
              </w:rPr>
              <w:t xml:space="preserve">Large Aspen </w:t>
            </w:r>
            <w:proofErr w:type="spellStart"/>
            <w:r w:rsidRPr="00D62A9E">
              <w:rPr>
                <w:rFonts w:asciiTheme="minorHAnsi" w:hAnsiTheme="minorHAnsi"/>
              </w:rPr>
              <w:t>Tortix</w:t>
            </w:r>
            <w:proofErr w:type="spellEnd"/>
            <w:r w:rsidRPr="00D62A9E">
              <w:rPr>
                <w:rFonts w:asciiTheme="minorHAnsi" w:hAnsiTheme="minorHAnsi"/>
              </w:rPr>
              <w:t xml:space="preserve"> ( </w:t>
            </w:r>
            <w:proofErr w:type="spellStart"/>
            <w:r w:rsidRPr="00D62A9E">
              <w:rPr>
                <w:rFonts w:asciiTheme="minorHAnsi" w:hAnsiTheme="minorHAnsi" w:cs="Arial"/>
                <w:i/>
                <w:iCs/>
              </w:rPr>
              <w:t>Choristoneura</w:t>
            </w:r>
            <w:proofErr w:type="spellEnd"/>
            <w:r w:rsidRPr="00D62A9E">
              <w:rPr>
                <w:rFonts w:asciiTheme="minorHAnsi" w:hAnsiTheme="minorHAnsi" w:cs="Arial"/>
                <w:i/>
                <w:iCs/>
              </w:rPr>
              <w:t xml:space="preserve"> </w:t>
            </w:r>
            <w:proofErr w:type="spellStart"/>
            <w:r w:rsidRPr="00D62A9E">
              <w:rPr>
                <w:rFonts w:asciiTheme="minorHAnsi" w:hAnsiTheme="minorHAnsi" w:cs="Arial"/>
                <w:i/>
                <w:iCs/>
              </w:rPr>
              <w:t>conflictana</w:t>
            </w:r>
            <w:proofErr w:type="spellEnd"/>
            <w:r w:rsidRPr="00D62A9E">
              <w:rPr>
                <w:rFonts w:asciiTheme="minorHAnsi" w:hAnsiTheme="minorHAnsi" w:cs="Arial"/>
                <w:i/>
                <w:iCs/>
              </w:rPr>
              <w:t>) IDX</w:t>
            </w:r>
          </w:p>
        </w:tc>
      </w:tr>
      <w:tr w:rsidR="00B713B1" w:rsidTr="00E048C4">
        <w:tc>
          <w:tcPr>
            <w:tcW w:w="0" w:type="auto"/>
          </w:tcPr>
          <w:p w:rsidR="00B713B1" w:rsidRDefault="00B713B1" w:rsidP="00B713B1">
            <w:pPr>
              <w:pStyle w:val="Default"/>
              <w:contextualSpacing/>
            </w:pPr>
            <w:r w:rsidRPr="00D62A9E">
              <w:rPr>
                <w:rFonts w:asciiTheme="minorHAnsi" w:hAnsiTheme="minorHAnsi"/>
              </w:rPr>
              <w:t xml:space="preserve">Aspen Serpentine Leaf Miner </w:t>
            </w:r>
            <w:r w:rsidRPr="00D62A9E">
              <w:rPr>
                <w:rFonts w:asciiTheme="minorHAnsi" w:hAnsiTheme="minorHAnsi"/>
                <w:i/>
              </w:rPr>
              <w:t>(</w:t>
            </w:r>
            <w:proofErr w:type="spellStart"/>
            <w:r w:rsidRPr="00D62A9E">
              <w:rPr>
                <w:rFonts w:asciiTheme="minorHAnsi" w:hAnsiTheme="minorHAnsi"/>
                <w:i/>
              </w:rPr>
              <w:t>Phyllocnistis</w:t>
            </w:r>
            <w:proofErr w:type="spellEnd"/>
            <w:r w:rsidRPr="00D62A9E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D62A9E">
              <w:rPr>
                <w:rFonts w:asciiTheme="minorHAnsi" w:hAnsiTheme="minorHAnsi"/>
                <w:i/>
              </w:rPr>
              <w:t>populiella</w:t>
            </w:r>
            <w:proofErr w:type="spellEnd"/>
            <w:r w:rsidRPr="00D62A9E">
              <w:rPr>
                <w:rFonts w:asciiTheme="minorHAnsi" w:hAnsiTheme="minorHAnsi"/>
                <w:i/>
              </w:rPr>
              <w:t xml:space="preserve">) </w:t>
            </w:r>
            <w:r w:rsidRPr="00D62A9E">
              <w:rPr>
                <w:rFonts w:asciiTheme="minorHAnsi" w:hAnsiTheme="minorHAnsi"/>
              </w:rPr>
              <w:t>ID6</w:t>
            </w:r>
          </w:p>
        </w:tc>
      </w:tr>
      <w:tr w:rsidR="00B713B1" w:rsidTr="00E048C4">
        <w:tc>
          <w:tcPr>
            <w:tcW w:w="0" w:type="auto"/>
          </w:tcPr>
          <w:p w:rsidR="00B713B1" w:rsidRDefault="00B713B1" w:rsidP="00B713B1">
            <w:pPr>
              <w:pStyle w:val="Default"/>
              <w:contextualSpacing/>
            </w:pPr>
            <w:r w:rsidRPr="00D62A9E">
              <w:t>Aspen Shoot Blight</w:t>
            </w:r>
            <w:r w:rsidRPr="00D62A9E">
              <w:rPr>
                <w:i/>
              </w:rPr>
              <w:t xml:space="preserve"> (</w:t>
            </w:r>
            <w:proofErr w:type="spellStart"/>
            <w:r w:rsidRPr="00D62A9E">
              <w:rPr>
                <w:i/>
              </w:rPr>
              <w:t>Venturia</w:t>
            </w:r>
            <w:proofErr w:type="spellEnd"/>
            <w:r w:rsidRPr="00D62A9E">
              <w:rPr>
                <w:i/>
              </w:rPr>
              <w:t xml:space="preserve"> </w:t>
            </w:r>
            <w:proofErr w:type="spellStart"/>
            <w:r w:rsidRPr="00D62A9E">
              <w:rPr>
                <w:i/>
              </w:rPr>
              <w:t>populina</w:t>
            </w:r>
            <w:proofErr w:type="spellEnd"/>
            <w:r w:rsidRPr="00D62A9E">
              <w:rPr>
                <w:i/>
              </w:rPr>
              <w:t>)</w:t>
            </w:r>
            <w:r>
              <w:rPr>
                <w:i/>
              </w:rPr>
              <w:t xml:space="preserve"> DLV</w:t>
            </w:r>
          </w:p>
        </w:tc>
      </w:tr>
    </w:tbl>
    <w:p w:rsidR="00B713B1" w:rsidRPr="00D62A9E" w:rsidRDefault="00B713B1" w:rsidP="00D62A9E">
      <w:pPr>
        <w:pStyle w:val="Default"/>
        <w:contextualSpacing/>
      </w:pPr>
    </w:p>
    <w:p w:rsidR="00202D3A" w:rsidRPr="00D62A9E" w:rsidRDefault="00D62A9E" w:rsidP="00D62A9E">
      <w:pPr>
        <w:pStyle w:val="Default"/>
        <w:contextualSpacing/>
        <w:rPr>
          <w:b/>
        </w:rPr>
      </w:pPr>
      <w:r w:rsidRPr="00D62A9E">
        <w:rPr>
          <w:b/>
        </w:rPr>
        <w:t>Description</w:t>
      </w:r>
    </w:p>
    <w:p w:rsidR="00D62A9E" w:rsidRDefault="00B713B1" w:rsidP="00D62A9E">
      <w:pPr>
        <w:pStyle w:val="Default"/>
        <w:contextualSpacing/>
      </w:pPr>
      <w:bookmarkStart w:id="1" w:name="_GoBack"/>
      <w:bookmarkEnd w:id="1"/>
      <w:r>
        <w:rPr>
          <w:noProof/>
          <w:lang w:val="en-CA" w:eastAsia="en-CA" w:bidi="ar-SA"/>
        </w:rPr>
        <w:drawing>
          <wp:anchor distT="0" distB="0" distL="114300" distR="114300" simplePos="0" relativeHeight="251658240" behindDoc="0" locked="0" layoutInCell="1" allowOverlap="1" wp14:anchorId="35000758" wp14:editId="5D268D17">
            <wp:simplePos x="0" y="0"/>
            <wp:positionH relativeFrom="column">
              <wp:posOffset>0</wp:posOffset>
            </wp:positionH>
            <wp:positionV relativeFrom="paragraph">
              <wp:posOffset>216535</wp:posOffset>
            </wp:positionV>
            <wp:extent cx="819150" cy="1216025"/>
            <wp:effectExtent l="0" t="0" r="0" b="3175"/>
            <wp:wrapSquare wrapText="bothSides"/>
            <wp:docPr id="3" name="Picture 3" descr="https://www.for.gov.bc.ca/hfp/publications/00198/301%20to%20350/fig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301%20to%20350/fig3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3B1" w:rsidRPr="00B713B1" w:rsidRDefault="00B713B1" w:rsidP="00E048C4">
      <w:pPr>
        <w:pStyle w:val="Default"/>
        <w:spacing w:after="0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B713B1">
        <w:rPr>
          <w:rFonts w:asciiTheme="minorHAnsi" w:hAnsiTheme="minorHAnsi" w:cstheme="minorHAnsi"/>
          <w:b/>
          <w:sz w:val="22"/>
          <w:szCs w:val="22"/>
        </w:rPr>
        <w:t xml:space="preserve">Large Aspen </w:t>
      </w:r>
      <w:proofErr w:type="spellStart"/>
      <w:r w:rsidRPr="00B713B1">
        <w:rPr>
          <w:rFonts w:asciiTheme="minorHAnsi" w:hAnsiTheme="minorHAnsi" w:cstheme="minorHAnsi"/>
          <w:b/>
          <w:sz w:val="22"/>
          <w:szCs w:val="22"/>
        </w:rPr>
        <w:t>Tortrix</w:t>
      </w:r>
      <w:proofErr w:type="spellEnd"/>
      <w:r w:rsidRPr="00B713B1">
        <w:rPr>
          <w:rFonts w:asciiTheme="minorHAnsi" w:hAnsiTheme="minorHAnsi" w:cstheme="minorHAnsi"/>
          <w:b/>
          <w:sz w:val="22"/>
          <w:szCs w:val="22"/>
        </w:rPr>
        <w:t>:</w:t>
      </w:r>
      <w:r w:rsidRPr="00B713B1">
        <w:rPr>
          <w:rFonts w:asciiTheme="minorHAnsi" w:hAnsiTheme="minorHAnsi" w:cstheme="minorHAnsi"/>
          <w:sz w:val="22"/>
          <w:szCs w:val="22"/>
        </w:rPr>
        <w:t xml:space="preserve">  </w:t>
      </w:r>
      <w:r w:rsidRPr="00B713B1">
        <w:rPr>
          <w:rFonts w:asciiTheme="minorHAnsi" w:hAnsiTheme="minorHAnsi" w:cstheme="minorHAnsi"/>
          <w:sz w:val="22"/>
          <w:szCs w:val="22"/>
        </w:rPr>
        <w:t>Trembling aspen and balsam poplar are susceptible.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>Appear as d</w:t>
      </w:r>
      <w:r w:rsidRPr="00B713B1">
        <w:rPr>
          <w:rFonts w:asciiTheme="minorHAnsi" w:hAnsiTheme="minorHAnsi" w:cstheme="minorHAnsi"/>
          <w:sz w:val="22"/>
          <w:szCs w:val="22"/>
        </w:rPr>
        <w:t>ark, smooth caterpillars feeding within rolled or webbed leaves</w:t>
      </w:r>
      <w:r w:rsidR="00E048C4">
        <w:rPr>
          <w:rFonts w:asciiTheme="minorHAnsi" w:hAnsiTheme="minorHAnsi" w:cstheme="minorHAnsi"/>
          <w:sz w:val="22"/>
          <w:szCs w:val="22"/>
        </w:rPr>
        <w:t>,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 xml:space="preserve">with </w:t>
      </w:r>
      <w:r w:rsidRPr="00B713B1">
        <w:rPr>
          <w:rFonts w:asciiTheme="minorHAnsi" w:hAnsiTheme="minorHAnsi" w:cstheme="minorHAnsi"/>
          <w:sz w:val="22"/>
          <w:szCs w:val="22"/>
        </w:rPr>
        <w:t xml:space="preserve">egg masses on </w:t>
      </w:r>
      <w:r w:rsidRPr="00B713B1">
        <w:rPr>
          <w:rFonts w:asciiTheme="minorHAnsi" w:hAnsiTheme="minorHAnsi" w:cstheme="minorHAnsi"/>
          <w:sz w:val="22"/>
          <w:szCs w:val="22"/>
        </w:rPr>
        <w:t xml:space="preserve">the </w:t>
      </w:r>
      <w:r w:rsidRPr="00B713B1">
        <w:rPr>
          <w:rFonts w:asciiTheme="minorHAnsi" w:hAnsiTheme="minorHAnsi" w:cstheme="minorHAnsi"/>
          <w:sz w:val="22"/>
          <w:szCs w:val="22"/>
        </w:rPr>
        <w:t>foliage.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 xml:space="preserve"> Affected foliage has a clumped, irregular appearance.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E048C4">
        <w:rPr>
          <w:rFonts w:asciiTheme="minorHAnsi" w:hAnsiTheme="minorHAnsi" w:cstheme="minorHAnsi"/>
          <w:sz w:val="22"/>
          <w:szCs w:val="22"/>
        </w:rPr>
        <w:t>The i</w:t>
      </w:r>
      <w:r w:rsidRPr="00B713B1">
        <w:rPr>
          <w:rFonts w:asciiTheme="minorHAnsi" w:hAnsiTheme="minorHAnsi" w:cstheme="minorHAnsi"/>
          <w:sz w:val="22"/>
          <w:szCs w:val="22"/>
        </w:rPr>
        <w:t>nfestations usually last 2 to 3 years, recurring about every 10 years.</w:t>
      </w:r>
      <w:proofErr w:type="gramEnd"/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 xml:space="preserve">Severe defoliation can result in reduced radial growth, but only rarely results in tree mortality. </w:t>
      </w:r>
      <w:r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Pr="00B713B1">
        <w:rPr>
          <w:rFonts w:asciiTheme="minorHAnsi" w:hAnsiTheme="minorHAnsi" w:cstheme="minorHAnsi"/>
          <w:sz w:val="22"/>
          <w:szCs w:val="22"/>
        </w:rPr>
        <w:t xml:space="preserve">Outbreaks of the large aspen </w:t>
      </w:r>
      <w:proofErr w:type="spellStart"/>
      <w:r w:rsidRPr="00B713B1">
        <w:rPr>
          <w:rFonts w:asciiTheme="minorHAnsi" w:hAnsiTheme="minorHAnsi" w:cstheme="minorHAnsi"/>
          <w:sz w:val="22"/>
          <w:szCs w:val="22"/>
        </w:rPr>
        <w:t>tortrix</w:t>
      </w:r>
      <w:proofErr w:type="spellEnd"/>
      <w:r w:rsidRPr="00B713B1">
        <w:rPr>
          <w:rFonts w:asciiTheme="minorHAnsi" w:hAnsiTheme="minorHAnsi" w:cstheme="minorHAnsi"/>
          <w:sz w:val="22"/>
          <w:szCs w:val="22"/>
        </w:rPr>
        <w:t xml:space="preserve"> tend to precede those of the forest tent caterpillar.</w:t>
      </w:r>
    </w:p>
    <w:p w:rsidR="00B713B1" w:rsidRPr="00B713B1" w:rsidRDefault="00B713B1" w:rsidP="00E048C4">
      <w:pPr>
        <w:pStyle w:val="Default"/>
        <w:spacing w:after="0" w:line="240" w:lineRule="auto"/>
        <w:contextualSpacing/>
        <w:rPr>
          <w:rFonts w:asciiTheme="minorHAnsi" w:hAnsiTheme="minorHAnsi" w:cstheme="minorHAnsi"/>
          <w:sz w:val="22"/>
          <w:szCs w:val="22"/>
        </w:rPr>
      </w:pPr>
    </w:p>
    <w:p w:rsidR="00D62A9E" w:rsidRDefault="00D62A9E" w:rsidP="00E048C4">
      <w:pPr>
        <w:pStyle w:val="Default"/>
        <w:spacing w:after="0" w:line="240" w:lineRule="auto"/>
        <w:contextualSpacing/>
        <w:rPr>
          <w:rFonts w:asciiTheme="minorHAnsi" w:hAnsiTheme="minorHAnsi" w:cstheme="minorHAnsi"/>
          <w:sz w:val="22"/>
          <w:szCs w:val="22"/>
        </w:rPr>
      </w:pPr>
    </w:p>
    <w:p w:rsidR="00B713B1" w:rsidRPr="00E048C4" w:rsidRDefault="00E048C4" w:rsidP="00E048C4">
      <w:pPr>
        <w:pStyle w:val="Default"/>
        <w:spacing w:after="0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48C4">
        <w:rPr>
          <w:rFonts w:ascii="Arial" w:hAnsi="Arial" w:cs="Arial"/>
          <w:noProof/>
          <w:color w:val="1A0DAB"/>
          <w:sz w:val="22"/>
          <w:szCs w:val="22"/>
          <w:lang w:val="en-CA" w:eastAsia="en-CA" w:bidi="ar-SA"/>
        </w:rPr>
        <w:drawing>
          <wp:anchor distT="0" distB="0" distL="114300" distR="114300" simplePos="0" relativeHeight="251660288" behindDoc="0" locked="0" layoutInCell="1" allowOverlap="1" wp14:anchorId="36D292AE" wp14:editId="4751E538">
            <wp:simplePos x="0" y="0"/>
            <wp:positionH relativeFrom="column">
              <wp:posOffset>0</wp:posOffset>
            </wp:positionH>
            <wp:positionV relativeFrom="paragraph">
              <wp:posOffset>62865</wp:posOffset>
            </wp:positionV>
            <wp:extent cx="1129030" cy="850900"/>
            <wp:effectExtent l="0" t="0" r="0" b="6350"/>
            <wp:wrapSquare wrapText="bothSides"/>
            <wp:docPr id="5" name="Picture 5" descr="https://encrypted-tbn1.gstatic.com/images?q=tbn:ANd9GcSccaBgU-7sC4VqVv-nVSjnD3fGEu4X58Gzeiu0D5A1ljApMffBp5qES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SccaBgU-7sC4VqVv-nVSjnD3fGEu4X58Gzeiu0D5A1ljApMffBp5qESA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8C4">
        <w:rPr>
          <w:rFonts w:asciiTheme="minorHAnsi" w:hAnsiTheme="minorHAnsi"/>
          <w:b/>
          <w:sz w:val="22"/>
          <w:szCs w:val="22"/>
        </w:rPr>
        <w:t xml:space="preserve"> </w:t>
      </w:r>
      <w:r w:rsidR="00B713B1" w:rsidRPr="00E048C4">
        <w:rPr>
          <w:rFonts w:asciiTheme="minorHAnsi" w:hAnsiTheme="minorHAnsi"/>
          <w:b/>
          <w:sz w:val="22"/>
          <w:szCs w:val="22"/>
        </w:rPr>
        <w:t>Aspen Serpentine Leaf Miner</w:t>
      </w:r>
      <w:r w:rsidR="00452E72" w:rsidRPr="00E048C4">
        <w:rPr>
          <w:rFonts w:asciiTheme="minorHAnsi" w:hAnsiTheme="minorHAnsi"/>
          <w:sz w:val="22"/>
          <w:szCs w:val="22"/>
        </w:rPr>
        <w:t xml:space="preserve"> affects trembling aspen and occasionally black cottonwood.  Newly hatched larvae feed on tissue between the epidermal leaf layers.  The foliage of aspen which has been heavily attacked appears bleached-white </w:t>
      </w:r>
      <w:r w:rsidRPr="00E048C4">
        <w:rPr>
          <w:rFonts w:asciiTheme="minorHAnsi" w:hAnsiTheme="minorHAnsi"/>
          <w:sz w:val="22"/>
          <w:szCs w:val="22"/>
        </w:rPr>
        <w:t xml:space="preserve">before changing to a yellow-brown </w:t>
      </w:r>
      <w:proofErr w:type="spellStart"/>
      <w:r w:rsidRPr="00E048C4">
        <w:rPr>
          <w:rFonts w:asciiTheme="minorHAnsi" w:hAnsiTheme="minorHAnsi"/>
          <w:sz w:val="22"/>
          <w:szCs w:val="22"/>
        </w:rPr>
        <w:t>colour</w:t>
      </w:r>
      <w:proofErr w:type="spellEnd"/>
      <w:r w:rsidRPr="00E048C4">
        <w:rPr>
          <w:rFonts w:asciiTheme="minorHAnsi" w:hAnsiTheme="minorHAnsi"/>
          <w:sz w:val="22"/>
          <w:szCs w:val="22"/>
        </w:rPr>
        <w:t xml:space="preserve">.  Heavy attacks can reduce tree growth, cause branch dieback and even cause mortality.  Foliage discoloration and premature leaf fall may reduce the aesthetic value of trees on recreation sites.  </w:t>
      </w:r>
    </w:p>
    <w:p w:rsidR="00B713B1" w:rsidRPr="00B713B1" w:rsidRDefault="00452E72" w:rsidP="00E048C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9B37C9" wp14:editId="42B7DEBB">
            <wp:simplePos x="0" y="0"/>
            <wp:positionH relativeFrom="column">
              <wp:posOffset>0</wp:posOffset>
            </wp:positionH>
            <wp:positionV relativeFrom="paragraph">
              <wp:posOffset>230505</wp:posOffset>
            </wp:positionV>
            <wp:extent cx="1322070" cy="1423035"/>
            <wp:effectExtent l="0" t="0" r="0" b="5715"/>
            <wp:wrapSquare wrapText="bothSides"/>
            <wp:docPr id="4" name="Picture 4" descr="https://www.for.gov.bc.ca/hfp/publications/00198/351%20to%20400/fig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351%20to%20400/fig3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3B1" w:rsidRPr="00B713B1">
        <w:rPr>
          <w:rFonts w:asciiTheme="minorHAnsi" w:hAnsiTheme="minorHAnsi" w:cstheme="minorHAnsi"/>
          <w:b/>
          <w:sz w:val="22"/>
          <w:szCs w:val="22"/>
        </w:rPr>
        <w:t>Aspen Shoot Blight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 is w</w:t>
      </w:r>
      <w:r w:rsidR="00B713B1" w:rsidRPr="00B713B1">
        <w:rPr>
          <w:rFonts w:asciiTheme="minorHAnsi" w:hAnsiTheme="minorHAnsi" w:cstheme="minorHAnsi"/>
          <w:sz w:val="22"/>
          <w:szCs w:val="22"/>
        </w:rPr>
        <w:t>idely distributed throughout the range of its hosts in B.C.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>Venturia</w:t>
      </w:r>
      <w:proofErr w:type="spellEnd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>macularis</w:t>
      </w:r>
      <w:proofErr w:type="spellEnd"/>
      <w:r w:rsidR="00B713B1" w:rsidRPr="00B713B1">
        <w:rPr>
          <w:rFonts w:asciiTheme="minorHAnsi" w:hAnsiTheme="minorHAnsi" w:cstheme="minorHAnsi"/>
          <w:sz w:val="22"/>
          <w:szCs w:val="22"/>
        </w:rPr>
        <w:t xml:space="preserve"> is especially severe in northern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>B.C.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>Venturia</w:t>
      </w:r>
      <w:proofErr w:type="spellEnd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>macularis</w:t>
      </w:r>
      <w:proofErr w:type="spellEnd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attacks primarily trembling aspen.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>Venturia</w:t>
      </w:r>
      <w:proofErr w:type="spellEnd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="00B713B1" w:rsidRPr="00B713B1">
        <w:rPr>
          <w:rFonts w:asciiTheme="minorHAnsi" w:hAnsiTheme="minorHAnsi" w:cstheme="minorHAnsi"/>
          <w:i/>
          <w:iCs/>
          <w:sz w:val="22"/>
          <w:szCs w:val="22"/>
        </w:rPr>
        <w:t>populina</w:t>
      </w:r>
      <w:proofErr w:type="spellEnd"/>
      <w:r w:rsidR="00B713B1" w:rsidRPr="00B713B1">
        <w:rPr>
          <w:rFonts w:asciiTheme="minorHAnsi" w:hAnsiTheme="minorHAnsi" w:cstheme="minorHAnsi"/>
          <w:sz w:val="22"/>
          <w:szCs w:val="22"/>
        </w:rPr>
        <w:t xml:space="preserve"> attacks balsam poplar, hybrid poplars, and black cottonwood.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  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The fungi overwinter </w:t>
      </w:r>
      <w:r>
        <w:rPr>
          <w:rFonts w:asciiTheme="minorHAnsi" w:hAnsiTheme="minorHAnsi" w:cstheme="minorHAnsi"/>
          <w:sz w:val="22"/>
          <w:szCs w:val="22"/>
        </w:rPr>
        <w:t>o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n </w:t>
      </w:r>
      <w:r>
        <w:rPr>
          <w:rFonts w:asciiTheme="minorHAnsi" w:hAnsiTheme="minorHAnsi" w:cstheme="minorHAnsi"/>
          <w:sz w:val="22"/>
          <w:szCs w:val="22"/>
        </w:rPr>
        <w:t>de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ad shoots, leaves, and blighted twigs.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Spores are dispersed in the spring via wind and rain to infect newly formed shoots and leaves.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The fungus first appears as black leaf spots.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The spots will continue to spread down the leaves into succulent </w:t>
      </w:r>
      <w:proofErr w:type="spellStart"/>
      <w:r w:rsidR="00B713B1" w:rsidRPr="00B713B1">
        <w:rPr>
          <w:rFonts w:asciiTheme="minorHAnsi" w:hAnsiTheme="minorHAnsi" w:cstheme="minorHAnsi"/>
          <w:sz w:val="22"/>
          <w:szCs w:val="22"/>
        </w:rPr>
        <w:t>branchlets</w:t>
      </w:r>
      <w:proofErr w:type="spellEnd"/>
      <w:r w:rsidR="00B713B1" w:rsidRPr="00B713B1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>The infected new shoots and leaves will turn black and wilt, resembling a shepherd's crook.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B713B1" w:rsidRPr="00B713B1">
        <w:rPr>
          <w:rFonts w:asciiTheme="minorHAnsi" w:hAnsiTheme="minorHAnsi" w:cstheme="minorHAnsi"/>
          <w:sz w:val="22"/>
          <w:szCs w:val="22"/>
        </w:rPr>
        <w:t>A velvety mat of olive-green conidia (spores) are produced on the blackened, dead tissue</w:t>
      </w:r>
      <w:r>
        <w:rPr>
          <w:rFonts w:asciiTheme="minorHAnsi" w:hAnsiTheme="minorHAnsi" w:cstheme="minorHAnsi"/>
          <w:sz w:val="22"/>
          <w:szCs w:val="22"/>
        </w:rPr>
        <w:t xml:space="preserve">.  </w:t>
      </w:r>
      <w:r w:rsidR="00B713B1" w:rsidRPr="00B713B1">
        <w:rPr>
          <w:rFonts w:asciiTheme="minorHAnsi" w:hAnsiTheme="minorHAnsi" w:cstheme="minorHAnsi"/>
          <w:sz w:val="22"/>
          <w:szCs w:val="22"/>
        </w:rPr>
        <w:t>Wet springs and summers are optimum conditions for infection.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713B1" w:rsidRPr="00B713B1">
        <w:rPr>
          <w:rFonts w:asciiTheme="minorHAnsi" w:hAnsiTheme="minorHAnsi" w:cstheme="minorHAnsi"/>
          <w:sz w:val="22"/>
          <w:szCs w:val="22"/>
        </w:rPr>
        <w:t xml:space="preserve"> Crowns are stunted and deformed when </w:t>
      </w:r>
      <w:proofErr w:type="spellStart"/>
      <w:r w:rsidR="00B713B1" w:rsidRPr="00B713B1">
        <w:rPr>
          <w:rFonts w:asciiTheme="minorHAnsi" w:hAnsiTheme="minorHAnsi" w:cstheme="minorHAnsi"/>
          <w:sz w:val="22"/>
          <w:szCs w:val="22"/>
        </w:rPr>
        <w:t>Venturia</w:t>
      </w:r>
      <w:proofErr w:type="spellEnd"/>
      <w:r w:rsidR="00B713B1" w:rsidRPr="00B713B1">
        <w:rPr>
          <w:rFonts w:asciiTheme="minorHAnsi" w:hAnsiTheme="minorHAnsi" w:cstheme="minorHAnsi"/>
          <w:sz w:val="22"/>
          <w:szCs w:val="22"/>
        </w:rPr>
        <w:t xml:space="preserve"> infections occur over successive years.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B713B1" w:rsidRPr="00B713B1" w:rsidRDefault="00B713B1" w:rsidP="00D62A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:rsidR="00D62A9E" w:rsidRPr="00D62A9E" w:rsidRDefault="00D62A9E" w:rsidP="00D62A9E">
      <w:pPr>
        <w:pStyle w:val="Default"/>
        <w:contextualSpacing/>
        <w:rPr>
          <w:b/>
        </w:rPr>
      </w:pPr>
      <w:r w:rsidRPr="00D62A9E">
        <w:rPr>
          <w:b/>
        </w:rPr>
        <w:t>Extent</w:t>
      </w:r>
    </w:p>
    <w:p w:rsidR="00D62A9E" w:rsidRDefault="00B713B1" w:rsidP="00B713B1">
      <w:pPr>
        <w:pStyle w:val="Default"/>
        <w:ind w:left="360"/>
        <w:contextualSpacing/>
      </w:pPr>
      <w:r>
        <w:t>See map at the end of this section</w:t>
      </w:r>
    </w:p>
    <w:p w:rsidR="00D62A9E" w:rsidRDefault="00D62A9E" w:rsidP="00D62A9E">
      <w:pPr>
        <w:pStyle w:val="Default"/>
        <w:contextualSpacing/>
      </w:pPr>
    </w:p>
    <w:p w:rsidR="00D62A9E" w:rsidRPr="00D62A9E" w:rsidRDefault="00D62A9E" w:rsidP="00D62A9E">
      <w:pPr>
        <w:pStyle w:val="Default"/>
        <w:contextualSpacing/>
        <w:rPr>
          <w:b/>
        </w:rPr>
      </w:pPr>
      <w:r w:rsidRPr="00D62A9E">
        <w:rPr>
          <w:b/>
        </w:rPr>
        <w:t>Data</w:t>
      </w:r>
    </w:p>
    <w:p w:rsidR="00D62A9E" w:rsidRDefault="00D62A9E" w:rsidP="00D62A9E">
      <w:pPr>
        <w:pStyle w:val="Default"/>
        <w:contextualSpacing/>
        <w:rPr>
          <w:b/>
        </w:rPr>
      </w:pPr>
      <w:r w:rsidRPr="00D62A9E">
        <w:rPr>
          <w:b/>
        </w:rPr>
        <w:t>Tactic</w:t>
      </w:r>
      <w:r w:rsidR="00E048C4">
        <w:rPr>
          <w:b/>
        </w:rPr>
        <w:t>s</w:t>
      </w:r>
    </w:p>
    <w:p w:rsidR="00B713B1" w:rsidRDefault="00B713B1">
      <w:pPr>
        <w:spacing w:after="200" w:line="276" w:lineRule="auto"/>
        <w:rPr>
          <w:rFonts w:ascii="Calibri" w:hAnsi="Calibri" w:cs="Calibri"/>
          <w:b/>
          <w:color w:val="000000"/>
        </w:rPr>
      </w:pPr>
      <w:r>
        <w:rPr>
          <w:b/>
        </w:rPr>
        <w:br w:type="page"/>
      </w:r>
    </w:p>
    <w:p w:rsidR="00B713B1" w:rsidRPr="00D62A9E" w:rsidRDefault="00B713B1" w:rsidP="00D62A9E">
      <w:pPr>
        <w:pStyle w:val="Default"/>
        <w:contextualSpacing/>
        <w:rPr>
          <w:b/>
        </w:rPr>
      </w:pPr>
      <w:r>
        <w:rPr>
          <w:noProof/>
          <w:lang w:val="en-CA" w:eastAsia="en-CA" w:bidi="ar-SA"/>
        </w:rPr>
        <w:lastRenderedPageBreak/>
        <w:drawing>
          <wp:inline distT="0" distB="0" distL="0" distR="0" wp14:anchorId="7EDA410C" wp14:editId="15FE6538">
            <wp:extent cx="5943600" cy="3845560"/>
            <wp:effectExtent l="0" t="0" r="0" b="2540"/>
            <wp:docPr id="2" name="Picture 2" descr="G:\!Workgrp\Stewardship\Operations\Forest Health\DSS Forest Health\2014-2015\2015 Forest Health Strategy\4_Forest Health Agents_Descr-etc\4 Aspen Pest Complex\Map13_Decid_Def_INCxH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!Workgrp\Stewardship\Operations\Forest Health\DSS Forest Health\2014-2015\2015 Forest Health Strategy\4_Forest Health Agents_Descr-etc\4 Aspen Pest Complex\Map13_Decid_Def_INCxHAZ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13B1" w:rsidRPr="00D62A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3839"/>
    <w:multiLevelType w:val="hybridMultilevel"/>
    <w:tmpl w:val="12FCC6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013BF"/>
    <w:multiLevelType w:val="hybridMultilevel"/>
    <w:tmpl w:val="806657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387F4A"/>
    <w:multiLevelType w:val="hybridMultilevel"/>
    <w:tmpl w:val="02F494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13699"/>
    <w:multiLevelType w:val="hybridMultilevel"/>
    <w:tmpl w:val="C310BEF0"/>
    <w:lvl w:ilvl="0" w:tplc="044AE4E4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>
    <w:nsid w:val="60C2507F"/>
    <w:multiLevelType w:val="hybridMultilevel"/>
    <w:tmpl w:val="AF3E91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24"/>
    <w:rsid w:val="00202D3A"/>
    <w:rsid w:val="00452E72"/>
    <w:rsid w:val="006D6BF3"/>
    <w:rsid w:val="009E0944"/>
    <w:rsid w:val="00B713B1"/>
    <w:rsid w:val="00D62A9E"/>
    <w:rsid w:val="00DE4424"/>
    <w:rsid w:val="00E0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42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424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42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424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4424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E4424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E4424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E4424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E4424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E442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424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E4424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DE4424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DE4424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DE4424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DE4424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DE4424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DE4424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DE4424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D62A9E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A9E"/>
    <w:rPr>
      <w:rFonts w:ascii="Tahoma" w:eastAsiaTheme="minorEastAsia" w:hAnsi="Tahoma" w:cs="Tahoma"/>
      <w:sz w:val="16"/>
      <w:szCs w:val="16"/>
      <w:lang w:val="en-US" w:bidi="en-US"/>
    </w:rPr>
  </w:style>
  <w:style w:type="table" w:styleId="TableGrid">
    <w:name w:val="Table Grid"/>
    <w:basedOn w:val="TableNormal"/>
    <w:uiPriority w:val="59"/>
    <w:rsid w:val="00B71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713B1"/>
    <w:pPr>
      <w:spacing w:before="100" w:beforeAutospacing="1" w:after="100" w:afterAutospacing="1"/>
    </w:pPr>
    <w:rPr>
      <w:rFonts w:ascii="Times New Roman" w:eastAsia="Times New Roman" w:hAnsi="Times New Roman"/>
      <w:color w:val="000000"/>
      <w:lang w:val="en-CA" w:eastAsia="en-C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42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424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42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424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4424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E4424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E4424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E4424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E4424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E442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424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E4424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DE4424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DE4424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DE4424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DE4424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DE4424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DE4424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DE4424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D62A9E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A9E"/>
    <w:rPr>
      <w:rFonts w:ascii="Tahoma" w:eastAsiaTheme="minorEastAsia" w:hAnsi="Tahoma" w:cs="Tahoma"/>
      <w:sz w:val="16"/>
      <w:szCs w:val="16"/>
      <w:lang w:val="en-US" w:bidi="en-US"/>
    </w:rPr>
  </w:style>
  <w:style w:type="table" w:styleId="TableGrid">
    <w:name w:val="Table Grid"/>
    <w:basedOn w:val="TableNormal"/>
    <w:uiPriority w:val="59"/>
    <w:rsid w:val="00B71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713B1"/>
    <w:pPr>
      <w:spacing w:before="100" w:beforeAutospacing="1" w:after="100" w:afterAutospacing="1"/>
    </w:pPr>
    <w:rPr>
      <w:rFonts w:ascii="Times New Roman" w:eastAsia="Times New Roman" w:hAnsi="Times New Roman"/>
      <w:color w:val="000000"/>
      <w:lang w:val="en-CA" w:eastAsia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google.com/url?url=http://ibis.geog.ubc.ca/biodiversity/efauna/MothsofBritishColumbia.html&amp;rct=j&amp;frm=1&amp;q=&amp;esrc=s&amp;sa=U&amp;ei=xLVDVayeLMP7oQSD5oCwCQ&amp;ved=0CBYQ9QEwAA&amp;usg=AFQjCNGc1P0M0vySTHZSgnK-x8nzeD0yJ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5</cp:revision>
  <dcterms:created xsi:type="dcterms:W3CDTF">2015-04-22T20:36:00Z</dcterms:created>
  <dcterms:modified xsi:type="dcterms:W3CDTF">2015-05-01T17:24:00Z</dcterms:modified>
</cp:coreProperties>
</file>